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A5" w:rsidRPr="008B48A5" w:rsidRDefault="008B48A5" w:rsidP="008B48A5">
      <w:pPr>
        <w:shd w:val="clear" w:color="auto" w:fill="FFFFFF"/>
        <w:spacing w:after="0" w:line="360" w:lineRule="atLeast"/>
        <w:jc w:val="center"/>
        <w:textAlignment w:val="baseline"/>
        <w:rPr>
          <w:rFonts w:ascii="Times New Roman" w:eastAsia="Times New Roman" w:hAnsi="Times New Roman" w:cs="Times New Roman"/>
          <w:b/>
          <w:sz w:val="24"/>
          <w:szCs w:val="24"/>
          <w:lang w:eastAsia="es-CO"/>
        </w:rPr>
      </w:pPr>
      <w:r w:rsidRPr="008B48A5">
        <w:rPr>
          <w:rFonts w:ascii="Times New Roman" w:eastAsia="Times New Roman" w:hAnsi="Times New Roman" w:cs="Times New Roman"/>
          <w:b/>
          <w:sz w:val="24"/>
          <w:szCs w:val="24"/>
          <w:lang w:eastAsia="es-CO"/>
        </w:rPr>
        <w:t>OFICIO N° 035899</w:t>
      </w:r>
    </w:p>
    <w:p w:rsidR="008B48A5" w:rsidRPr="008B48A5" w:rsidRDefault="008B48A5" w:rsidP="008B48A5">
      <w:pPr>
        <w:shd w:val="clear" w:color="auto" w:fill="FFFFFF"/>
        <w:spacing w:after="0" w:line="360" w:lineRule="atLeast"/>
        <w:jc w:val="center"/>
        <w:textAlignment w:val="baseline"/>
        <w:rPr>
          <w:rFonts w:ascii="Times New Roman" w:eastAsia="Times New Roman" w:hAnsi="Times New Roman" w:cs="Times New Roman"/>
          <w:b/>
          <w:sz w:val="24"/>
          <w:szCs w:val="24"/>
          <w:lang w:eastAsia="es-CO"/>
        </w:rPr>
      </w:pPr>
      <w:r w:rsidRPr="008B48A5">
        <w:rPr>
          <w:rFonts w:ascii="Times New Roman" w:eastAsia="Times New Roman" w:hAnsi="Times New Roman" w:cs="Times New Roman"/>
          <w:b/>
          <w:sz w:val="24"/>
          <w:szCs w:val="24"/>
          <w:lang w:eastAsia="es-CO"/>
        </w:rPr>
        <w:t>13-06-2013</w:t>
      </w:r>
    </w:p>
    <w:p w:rsidR="008B48A5" w:rsidRPr="008B48A5" w:rsidRDefault="008B48A5" w:rsidP="008B48A5">
      <w:pPr>
        <w:shd w:val="clear" w:color="auto" w:fill="FFFFFF"/>
        <w:spacing w:after="0" w:line="360" w:lineRule="atLeast"/>
        <w:jc w:val="center"/>
        <w:textAlignment w:val="baseline"/>
        <w:rPr>
          <w:rFonts w:ascii="Times New Roman" w:eastAsia="Times New Roman" w:hAnsi="Times New Roman" w:cs="Times New Roman"/>
          <w:b/>
          <w:sz w:val="24"/>
          <w:szCs w:val="24"/>
          <w:lang w:eastAsia="es-CO"/>
        </w:rPr>
      </w:pPr>
      <w:r w:rsidRPr="008B48A5">
        <w:rPr>
          <w:rFonts w:ascii="Times New Roman" w:eastAsia="Times New Roman" w:hAnsi="Times New Roman" w:cs="Times New Roman"/>
          <w:b/>
          <w:sz w:val="24"/>
          <w:szCs w:val="24"/>
          <w:lang w:eastAsia="es-CO"/>
        </w:rPr>
        <w:t>DIAN</w:t>
      </w:r>
    </w:p>
    <w:p w:rsidR="008B48A5" w:rsidRPr="008B48A5" w:rsidRDefault="008B48A5" w:rsidP="008B48A5">
      <w:pPr>
        <w:shd w:val="clear" w:color="auto" w:fill="FFFFFF"/>
        <w:spacing w:after="0" w:line="360" w:lineRule="atLeast"/>
        <w:jc w:val="center"/>
        <w:textAlignment w:val="baseline"/>
        <w:rPr>
          <w:rFonts w:ascii="Times New Roman" w:eastAsia="Times New Roman" w:hAnsi="Times New Roman" w:cs="Times New Roman"/>
          <w:b/>
          <w:sz w:val="24"/>
          <w:szCs w:val="24"/>
          <w:lang w:eastAsia="es-CO"/>
        </w:rPr>
      </w:pPr>
    </w:p>
    <w:p w:rsidR="008B48A5" w:rsidRPr="008B48A5" w:rsidRDefault="008B48A5" w:rsidP="008B48A5">
      <w:pPr>
        <w:shd w:val="clear" w:color="auto" w:fill="FFFFFF"/>
        <w:spacing w:after="0" w:line="360" w:lineRule="atLeast"/>
        <w:jc w:val="center"/>
        <w:textAlignment w:val="baseline"/>
        <w:rPr>
          <w:rFonts w:ascii="Times New Roman" w:eastAsia="Times New Roman" w:hAnsi="Times New Roman" w:cs="Times New Roman"/>
          <w:b/>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Dirección de Gestión Jurídica</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Bogotá, D.C.</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100202208 – 704</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Señora</w:t>
      </w:r>
      <w:bookmarkStart w:id="0" w:name="_GoBack"/>
      <w:bookmarkEnd w:id="0"/>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LINA MARÍA HERNÁNDEZ O</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Bogotá, D.C.</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Cordial saludo señora Lina María.</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De conformidad con lo dispuesto en el artículo 19 del Decreto 4048 de 2008 y la Orden Administrativa No. 000006 de 2009, este Despacho está facultado para absolver las consultas que se formulen sobre la interpretación y aplicación de las normas tributarias, aduaneras y cambiarias del orden nacional, en lo de competencia de la Dirección de Impuestos y Aduanas Nacionales.</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En su consulta de la referencia, solicita aclarar cuál es la retención en la fuente aplicable a una persona natural que en el año 2013 tiene un contrato de prestación de servicios profesionales por un valor mensual de $ 5.300.000. Para el efecto suministra la siguiente información adicional: realiza los aportes obligatorios a salud y pensión, tiene un hijo menor de edad a cargo, tiene un crédito hipotecario y sus ingresos en el año 2012 fueron de $ 46.740.000.</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Ante todo, es necesario precisar que de conformidad con los artículos 375 y 376 del Estatuto Tributario, las obligaciones de efectuar la retención y consignar los valores retenidos, están en cabeza única y exclusivamente de quien la ley determina como agente retenedor y por lo tanto corresponde a este verificar en cada caso particular la realización de los presupuestos señalados en la ley que generan la obligación de practicar la retención.</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xml:space="preserve">Ahora bien, con base en el caso planteado, comedidamente le informamos que para determinar la base de retención en la fuente a la que se aplica la tabla contenida en el </w:t>
      </w:r>
      <w:r w:rsidRPr="008B48A5">
        <w:rPr>
          <w:rFonts w:ascii="Times New Roman" w:eastAsia="Times New Roman" w:hAnsi="Times New Roman" w:cs="Times New Roman"/>
          <w:sz w:val="24"/>
          <w:szCs w:val="24"/>
          <w:lang w:eastAsia="es-CO"/>
        </w:rPr>
        <w:lastRenderedPageBreak/>
        <w:t>artículo 383 del Estatuto Tributario, aplican las siguientes disposiciones: artículos 126-1 y 387 del Estatuto Tributario y artículo 2 de los decretos reglamentarios 0099 y 1070 de 2013, los cuales transcribimos para su ilustración:</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Decreto Reglamentario 1070 de 2013:</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“ARTÍCULO 2. Depuración de la base del cálculo de la retención en la fuente. Para obtener la base de retención en la fuente sobre los pagos o abonos en cuenta por concepto de rentas de trabajo efectuados a las personas naturales pertenecientes a la categoría de empleados, se podrán detraer los siguientes factores:</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1- Los ingresos que la ley de manera taxativa prevé como no constitutivos de renta ni ganancia ocasional.</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2- Las deducciones a que se refiere el artículo 387 del Estatuto Tributario, reglamentado por el artículo 2° del Decreto 0099 de 2013.</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3- Los aportes obligatorios al Sistema General de Seguridad Social en Salud.</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4- Las rentas que la ley de manera taxativa prevé como exentas en razón a su origen y beneficiario. Lo previsto en el numeral 10 del artículo 206 del Estatuto Tributario procede también para las personas naturales clasificadas en la categoría de empleados cuyos pagos o abonos en cuenta no provengan de una relación laboral, o legal y reglamentaria, de conformidad con lo previsto en el inciso 1 del artículo 383 del Estatuto Tributario.</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Los factores de depuración de la base de retención de los empleados cuyos ingresos no provengan de una relación laboral, o legal y reglamentaria, se determinarán mediante los soportes que adjunte el empleado a la factura o documento equivalente o el documento expedido por las personas no obligadas a facturar en los términos del inciso 3° del artículo 771-2 del Estatuto Tributario. En este caso las deducciones a que se refieren el artículo 387 del Estatuto Tributario y el artículo 2° del Decreto Reglamentario 0099 de 2013 se comprobarán en la forma prevista en lo pertinente en el artículo 7 del Decreto Reglamentario 4713 de 2005, en el artículo 7 del Decreto Reglamentario 3750 de 1986 y en las demás normas vigentes. Si se suscriben contratos con pagos periódicos, la información soporte se podrá suministrar una sola vez.</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lastRenderedPageBreak/>
        <w:t>…” (</w:t>
      </w:r>
      <w:proofErr w:type="gramStart"/>
      <w:r w:rsidRPr="008B48A5">
        <w:rPr>
          <w:rFonts w:ascii="Times New Roman" w:eastAsia="Times New Roman" w:hAnsi="Times New Roman" w:cs="Times New Roman"/>
          <w:sz w:val="24"/>
          <w:szCs w:val="24"/>
          <w:lang w:eastAsia="es-CO"/>
        </w:rPr>
        <w:t>subrayado</w:t>
      </w:r>
      <w:proofErr w:type="gramEnd"/>
      <w:r w:rsidRPr="008B48A5">
        <w:rPr>
          <w:rFonts w:ascii="Times New Roman" w:eastAsia="Times New Roman" w:hAnsi="Times New Roman" w:cs="Times New Roman"/>
          <w:sz w:val="24"/>
          <w:szCs w:val="24"/>
          <w:lang w:eastAsia="es-CO"/>
        </w:rPr>
        <w:t xml:space="preserve"> fuera de texto).</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En consonancia con el numeral 2 antes transcrito, el artículo 2 del Decreto 0099 de 2013 reglamentario del artículo 387 del Estatuto Tributario, establece:</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“ARTÍCULO 2°. DEPURACIÓN DE LA BASE DEL CÁLCULO DE RETENCIÓN. Para obtener la base del cálculo de la retención en la fuente prevista en el artículo 383 del Estatuto Tributario, podrán detraerse los pagos efectivamente realizados por los siguientes conceptos:</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1- En el caso de empleados que tengan derecho a la deducción por intereses o corrección monetaria en virtud de préstamos para adquisición de vivienda, la base de retención se disminuirá proporcionalmente en la forma indicada en las normas reglamentarias vigentes.</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2- Los pagos por salud señalados en los literales a) y b) del artículo 387 del Estatuto Tributario, siempre que el valor a disminuir mensualmente, no supere dieciséis (16) UVT mensuales, y se cumplan las condiciones de control indicadas en las normas reglamentarias vigentes.</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3- Una deducción mensual de hasta el 10% del total de los ingresos brutos provenientes de la relación laboral o legal y reglamentaria en el respectivo mes por concepto de dependientes, hasta un máximo de treinta y dos (32) UVT mensuales.</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w:t>
      </w:r>
      <w:proofErr w:type="gramStart"/>
      <w:r w:rsidRPr="008B48A5">
        <w:rPr>
          <w:rFonts w:ascii="Times New Roman" w:eastAsia="Times New Roman" w:hAnsi="Times New Roman" w:cs="Times New Roman"/>
          <w:sz w:val="24"/>
          <w:szCs w:val="24"/>
          <w:lang w:eastAsia="es-CO"/>
        </w:rPr>
        <w:t>subrayado</w:t>
      </w:r>
      <w:proofErr w:type="gramEnd"/>
      <w:r w:rsidRPr="008B48A5">
        <w:rPr>
          <w:rFonts w:ascii="Times New Roman" w:eastAsia="Times New Roman" w:hAnsi="Times New Roman" w:cs="Times New Roman"/>
          <w:sz w:val="24"/>
          <w:szCs w:val="24"/>
          <w:lang w:eastAsia="es-CO"/>
        </w:rPr>
        <w:t xml:space="preserve"> fuera de texto).</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Por su parte, el artículo 119 del Estatuto Tributario, señala:</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“Artículo 119. Deducción de intereses sobre préstamos para adquisición de vivienda. Aunque no guarden relación de causalidad con la producción de la renta, también son deducibles los intereses que se paguen sobre préstamos para adquisición de vivienda del contribuyente, siempre que el préstamo esté garantizado con hipoteca si el acreedor no está sometido a la vigilancia del Estado, y se cumplen las demás condiciones señaladas en este artículo.</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xml:space="preserve"> Cuando el préstamo de vivienda se haya adquirido en unidades de poder adquisitivo constante, la deducción por intereses y corrección monetaria estará limitada para cada </w:t>
      </w:r>
      <w:r w:rsidRPr="008B48A5">
        <w:rPr>
          <w:rFonts w:ascii="Times New Roman" w:eastAsia="Times New Roman" w:hAnsi="Times New Roman" w:cs="Times New Roman"/>
          <w:sz w:val="24"/>
          <w:szCs w:val="24"/>
          <w:lang w:eastAsia="es-CO"/>
        </w:rPr>
        <w:lastRenderedPageBreak/>
        <w:t>contribuyente al valor equivalente a las primeras cuatro mil quinientos cincuenta y tres (4.553) unidades de poder adquisitivo constante UPAC (hoy UVR), del respectivo préstamo. Dicha deducción no podrá exceder anualmente del valor equivalente de mil (1.000) unidad de poder adquisitivo constante (1.200 UVT).”</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En lo concerniente a las rentas exentas de que trata el numeral 4 del artículo 2 del Decreto Reglamentario 1070 de 2013, el inciso segundo del artículo 126-1 y el numeral 10 del artículo 206 del Estatuto Tributario, disponen:</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“El monto obligatorio de los aportes que haga el trabajador, el empleador o el partícipe independiente, al fondo de pensiones de jubilación o invalidez, no hará parte de la base para aplicar la retención en la fuente por salarios y será considerado como una renta exenta en el año de su percepción.” (</w:t>
      </w:r>
      <w:proofErr w:type="gramStart"/>
      <w:r w:rsidRPr="008B48A5">
        <w:rPr>
          <w:rFonts w:ascii="Times New Roman" w:eastAsia="Times New Roman" w:hAnsi="Times New Roman" w:cs="Times New Roman"/>
          <w:sz w:val="24"/>
          <w:szCs w:val="24"/>
          <w:lang w:eastAsia="es-CO"/>
        </w:rPr>
        <w:t>artículo</w:t>
      </w:r>
      <w:proofErr w:type="gramEnd"/>
      <w:r w:rsidRPr="008B48A5">
        <w:rPr>
          <w:rFonts w:ascii="Times New Roman" w:eastAsia="Times New Roman" w:hAnsi="Times New Roman" w:cs="Times New Roman"/>
          <w:sz w:val="24"/>
          <w:szCs w:val="24"/>
          <w:lang w:eastAsia="es-CO"/>
        </w:rPr>
        <w:t xml:space="preserve"> 126-1 E.T.)</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“10. El veinticinco por ciento (25%) del valor total de los pagos laborales, limitada mensualmente a doscientas cuarenta (240) UVT. El cálculo de esta renta exenta se efectuará una vez se detraiga del valor total de los pagos laborales recibidos por el trabajador, los ingresos no constitutivos de renta, las deducciones y las demás rentas exentas diferentes a la establecida en el presente numeral.” (</w:t>
      </w:r>
      <w:proofErr w:type="gramStart"/>
      <w:r w:rsidRPr="008B48A5">
        <w:rPr>
          <w:rFonts w:ascii="Times New Roman" w:eastAsia="Times New Roman" w:hAnsi="Times New Roman" w:cs="Times New Roman"/>
          <w:sz w:val="24"/>
          <w:szCs w:val="24"/>
          <w:lang w:eastAsia="es-CO"/>
        </w:rPr>
        <w:t>artículo</w:t>
      </w:r>
      <w:proofErr w:type="gramEnd"/>
      <w:r w:rsidRPr="008B48A5">
        <w:rPr>
          <w:rFonts w:ascii="Times New Roman" w:eastAsia="Times New Roman" w:hAnsi="Times New Roman" w:cs="Times New Roman"/>
          <w:sz w:val="24"/>
          <w:szCs w:val="24"/>
          <w:lang w:eastAsia="es-CO"/>
        </w:rPr>
        <w:t xml:space="preserve"> 206 E.T.)</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Finalmente el artículo 1 del Decreto 0099 de 2013, reglamentario del artículo 383 del Estatuto Tributario contiene la tabla de retención en la fuente:</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“ARTÍCULO 1°. RETENCIÓN EN LA FUENTE PARA EMPLEADOS POR CONCEPTO DE RENTAS DE TRABAJO. Conforme lo establece el artículo 383 del Estatuto Tributario, en concordancia con el artículo 384, la retención en la fuente aplicable por las personas naturales o jurídicas, las sociedades de hecho, las comunidades organizadas y las sucesiones ilíquidas, a las personas naturales pertenecientes a la categoría de empleados de conformidad con lo establecido en el artículo 329 del mismo Estatuto por: i) Pagos gravables, cuando provengan de una relación laboral o legal y reglamentaria o por concepto de pensiones de jubilación, invalidez, vejez, de sobrevivientes y sobre riesgos laborales de conformidad con lo establecido en el artículo 206, ii) Pagos o abonos en cuenta gravables, cuando se trate de relaciones contractuales distintas a las anteriores, corresponde a la que resulte de aplicar a dichos pagos o abonos en cuenta, según corresponda, la siguiente tabla de retención en la fuente:</w:t>
      </w:r>
    </w:p>
    <w:p w:rsidR="008B48A5" w:rsidRPr="008B48A5" w:rsidRDefault="008B48A5" w:rsidP="008B48A5">
      <w:pPr>
        <w:shd w:val="clear" w:color="auto" w:fill="FFFFFF"/>
        <w:spacing w:after="0" w:line="360" w:lineRule="atLeast"/>
        <w:ind w:left="434"/>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lastRenderedPageBreak/>
        <w:t> T</w:t>
      </w:r>
      <w:r w:rsidRPr="008B48A5">
        <w:rPr>
          <w:rFonts w:ascii="Times New Roman" w:eastAsia="Times New Roman" w:hAnsi="Times New Roman" w:cs="Times New Roman"/>
          <w:b/>
          <w:bCs/>
          <w:i/>
          <w:iCs/>
          <w:sz w:val="24"/>
          <w:szCs w:val="24"/>
          <w:bdr w:val="none" w:sz="0" w:space="0" w:color="auto" w:frame="1"/>
          <w:lang w:eastAsia="es-CO"/>
        </w:rPr>
        <w:t>ABLA DE RETENCIÓN EN LA FUENTE PARA INGRESOS LABORALES GRAVADOS</w:t>
      </w:r>
    </w:p>
    <w:p w:rsidR="008B48A5" w:rsidRPr="008B48A5" w:rsidRDefault="008B48A5" w:rsidP="008B48A5">
      <w:pPr>
        <w:shd w:val="clear" w:color="auto" w:fill="FFFFFF"/>
        <w:spacing w:after="0" w:line="360" w:lineRule="atLeast"/>
        <w:ind w:left="434"/>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w:t>
      </w:r>
    </w:p>
    <w:tbl>
      <w:tblPr>
        <w:tblW w:w="5000" w:type="pct"/>
        <w:jc w:val="center"/>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39"/>
        <w:gridCol w:w="1235"/>
        <w:gridCol w:w="1949"/>
        <w:gridCol w:w="4285"/>
      </w:tblGrid>
      <w:tr w:rsidR="008B48A5" w:rsidRPr="008B48A5" w:rsidTr="008B48A5">
        <w:trPr>
          <w:tblCellSpacing w:w="0" w:type="dxa"/>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b/>
                <w:bCs/>
                <w:i/>
                <w:iCs/>
                <w:sz w:val="24"/>
                <w:szCs w:val="24"/>
                <w:bdr w:val="none" w:sz="0" w:space="0" w:color="auto" w:frame="1"/>
                <w:lang w:eastAsia="es-CO"/>
              </w:rPr>
              <w:t>RANGOS EN UVT</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b/>
                <w:bCs/>
                <w:i/>
                <w:iCs/>
                <w:sz w:val="24"/>
                <w:szCs w:val="24"/>
                <w:bdr w:val="none" w:sz="0" w:space="0" w:color="auto" w:frame="1"/>
                <w:lang w:eastAsia="es-CO"/>
              </w:rPr>
              <w:t>TARIFA MARGINAL</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b/>
                <w:bCs/>
                <w:i/>
                <w:iCs/>
                <w:sz w:val="24"/>
                <w:szCs w:val="24"/>
                <w:bdr w:val="none" w:sz="0" w:space="0" w:color="auto" w:frame="1"/>
                <w:lang w:eastAsia="es-CO"/>
              </w:rPr>
              <w:t>IMPUESTO</w:t>
            </w:r>
          </w:p>
        </w:tc>
      </w:tr>
      <w:tr w:rsidR="008B48A5" w:rsidRPr="008B48A5" w:rsidTr="008B48A5">
        <w:trPr>
          <w:tblCellSpacing w:w="0" w:type="dxa"/>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b/>
                <w:bCs/>
                <w:i/>
                <w:iCs/>
                <w:sz w:val="24"/>
                <w:szCs w:val="24"/>
                <w:bdr w:val="none" w:sz="0" w:space="0" w:color="auto" w:frame="1"/>
                <w:lang w:eastAsia="es-CO"/>
              </w:rPr>
              <w:t>DESDE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b/>
                <w:bCs/>
                <w:i/>
                <w:iCs/>
                <w:sz w:val="24"/>
                <w:szCs w:val="24"/>
                <w:bdr w:val="none" w:sz="0" w:space="0" w:color="auto" w:frame="1"/>
                <w:lang w:eastAsia="es-CO"/>
              </w:rPr>
              <w:t>HASTA</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w:t>
            </w:r>
          </w:p>
        </w:tc>
      </w:tr>
      <w:tr w:rsidR="008B48A5" w:rsidRPr="008B48A5" w:rsidTr="008B48A5">
        <w:trPr>
          <w:tblCellSpacing w:w="0" w:type="dxa"/>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i/>
                <w:iCs/>
                <w:sz w:val="24"/>
                <w:szCs w:val="24"/>
                <w:bdr w:val="none" w:sz="0" w:space="0" w:color="auto" w:frame="1"/>
                <w:lang w:eastAsia="es-CO"/>
              </w:rPr>
              <w:t>&gt;0</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i/>
                <w:iCs/>
                <w:sz w:val="24"/>
                <w:szCs w:val="24"/>
                <w:bdr w:val="none" w:sz="0" w:space="0" w:color="auto" w:frame="1"/>
                <w:lang w:eastAsia="es-CO"/>
              </w:rPr>
              <w:t>95</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i/>
                <w:iCs/>
                <w:sz w:val="24"/>
                <w:szCs w:val="24"/>
                <w:bdr w:val="none" w:sz="0" w:space="0" w:color="auto" w:frame="1"/>
                <w:lang w:eastAsia="es-CO"/>
              </w:rPr>
              <w:t>0%</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i/>
                <w:iCs/>
                <w:sz w:val="24"/>
                <w:szCs w:val="24"/>
                <w:bdr w:val="none" w:sz="0" w:space="0" w:color="auto" w:frame="1"/>
                <w:lang w:eastAsia="es-CO"/>
              </w:rPr>
              <w:t>0</w:t>
            </w:r>
          </w:p>
        </w:tc>
      </w:tr>
      <w:tr w:rsidR="008B48A5" w:rsidRPr="008B48A5" w:rsidTr="008B48A5">
        <w:trPr>
          <w:tblCellSpacing w:w="0" w:type="dxa"/>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i/>
                <w:iCs/>
                <w:sz w:val="24"/>
                <w:szCs w:val="24"/>
                <w:bdr w:val="none" w:sz="0" w:space="0" w:color="auto" w:frame="1"/>
                <w:lang w:eastAsia="es-CO"/>
              </w:rPr>
              <w:t>&gt;95</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i/>
                <w:iCs/>
                <w:sz w:val="24"/>
                <w:szCs w:val="24"/>
                <w:bdr w:val="none" w:sz="0" w:space="0" w:color="auto" w:frame="1"/>
                <w:lang w:eastAsia="es-CO"/>
              </w:rPr>
              <w:t>150</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i/>
                <w:iCs/>
                <w:sz w:val="24"/>
                <w:szCs w:val="24"/>
                <w:bdr w:val="none" w:sz="0" w:space="0" w:color="auto" w:frame="1"/>
                <w:lang w:eastAsia="es-CO"/>
              </w:rPr>
              <w:t>19%</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i/>
                <w:iCs/>
                <w:sz w:val="24"/>
                <w:szCs w:val="24"/>
                <w:bdr w:val="none" w:sz="0" w:space="0" w:color="auto" w:frame="1"/>
                <w:lang w:eastAsia="es-CO"/>
              </w:rPr>
              <w:t>(Ingreso laboral gravado expresado en UVT menos 95 UVT)*19%</w:t>
            </w:r>
          </w:p>
        </w:tc>
      </w:tr>
      <w:tr w:rsidR="008B48A5" w:rsidRPr="008B48A5" w:rsidTr="008B48A5">
        <w:trPr>
          <w:tblCellSpacing w:w="0" w:type="dxa"/>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i/>
                <w:iCs/>
                <w:sz w:val="24"/>
                <w:szCs w:val="24"/>
                <w:bdr w:val="none" w:sz="0" w:space="0" w:color="auto" w:frame="1"/>
                <w:lang w:eastAsia="es-CO"/>
              </w:rPr>
              <w:t>&gt;150</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i/>
                <w:iCs/>
                <w:sz w:val="24"/>
                <w:szCs w:val="24"/>
                <w:bdr w:val="none" w:sz="0" w:space="0" w:color="auto" w:frame="1"/>
                <w:lang w:eastAsia="es-CO"/>
              </w:rPr>
              <w:t>360</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i/>
                <w:iCs/>
                <w:sz w:val="24"/>
                <w:szCs w:val="24"/>
                <w:bdr w:val="none" w:sz="0" w:space="0" w:color="auto" w:frame="1"/>
                <w:lang w:eastAsia="es-CO"/>
              </w:rPr>
              <w:t>28%</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i/>
                <w:iCs/>
                <w:sz w:val="24"/>
                <w:szCs w:val="24"/>
                <w:bdr w:val="none" w:sz="0" w:space="0" w:color="auto" w:frame="1"/>
                <w:lang w:eastAsia="es-CO"/>
              </w:rPr>
              <w:t>(Ingreso laboral gravado expresado en UVT menos 150 UVT)*28% más 10 UVT</w:t>
            </w:r>
          </w:p>
        </w:tc>
      </w:tr>
      <w:tr w:rsidR="008B48A5" w:rsidRPr="008B48A5" w:rsidTr="008B48A5">
        <w:trPr>
          <w:tblCellSpacing w:w="0" w:type="dxa"/>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i/>
                <w:iCs/>
                <w:sz w:val="24"/>
                <w:szCs w:val="24"/>
                <w:bdr w:val="none" w:sz="0" w:space="0" w:color="auto" w:frame="1"/>
                <w:lang w:eastAsia="es-CO"/>
              </w:rPr>
              <w:t>&gt;360</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i/>
                <w:iCs/>
                <w:sz w:val="24"/>
                <w:szCs w:val="24"/>
                <w:bdr w:val="none" w:sz="0" w:space="0" w:color="auto" w:frame="1"/>
                <w:lang w:eastAsia="es-CO"/>
              </w:rPr>
              <w:t>En adelante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i/>
                <w:iCs/>
                <w:sz w:val="24"/>
                <w:szCs w:val="24"/>
                <w:bdr w:val="none" w:sz="0" w:space="0" w:color="auto" w:frame="1"/>
                <w:lang w:eastAsia="es-CO"/>
              </w:rPr>
              <w:t>33%</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8B48A5" w:rsidRPr="008B48A5" w:rsidRDefault="008B48A5" w:rsidP="008B48A5">
            <w:pPr>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i/>
                <w:iCs/>
                <w:sz w:val="24"/>
                <w:szCs w:val="24"/>
                <w:bdr w:val="none" w:sz="0" w:space="0" w:color="auto" w:frame="1"/>
                <w:lang w:eastAsia="es-CO"/>
              </w:rPr>
              <w:t>(Ingreso laboral gravado expresado en UVT menos 360 UVT)*33% más 69 UVT</w:t>
            </w:r>
          </w:p>
        </w:tc>
      </w:tr>
    </w:tbl>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 </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Así mismo le informamos que mediante el artículo 1° de la Resolución No. 000138 del 21 de noviembre de 2012 se fijó en veintiséis mil ochocientos cuarenta y un pesos ($26.841) el valor de la Unidad de Valor Tributario – UVT, que regirá durante el año 2013.</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En relación con el procedimiento a seguir por parte del sujeto de retención en la fuente, cuando se le practiquen retenciones en exceso o indebidas, anexamos el Concepto No. 013734 del 14 de septiembre de 1999.</w:t>
      </w:r>
    </w:p>
    <w:p w:rsid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ISABEL CRISTINA GARCÉS SÁNCHEZ</w:t>
      </w:r>
    </w:p>
    <w:p w:rsidR="008B48A5" w:rsidRPr="008B48A5" w:rsidRDefault="008B48A5" w:rsidP="008B48A5">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8B48A5">
        <w:rPr>
          <w:rFonts w:ascii="Times New Roman" w:eastAsia="Times New Roman" w:hAnsi="Times New Roman" w:cs="Times New Roman"/>
          <w:sz w:val="24"/>
          <w:szCs w:val="24"/>
          <w:lang w:eastAsia="es-CO"/>
        </w:rPr>
        <w:t>Directora de Gestión Jurídica</w:t>
      </w:r>
    </w:p>
    <w:sectPr w:rsidR="008B48A5" w:rsidRPr="008B48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A5"/>
    <w:rsid w:val="004F3E6E"/>
    <w:rsid w:val="008B48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48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8A5"/>
    <w:rPr>
      <w:rFonts w:ascii="Tahoma" w:hAnsi="Tahoma" w:cs="Tahoma"/>
      <w:sz w:val="16"/>
      <w:szCs w:val="16"/>
    </w:rPr>
  </w:style>
  <w:style w:type="paragraph" w:styleId="Prrafodelista">
    <w:name w:val="List Paragraph"/>
    <w:basedOn w:val="Normal"/>
    <w:uiPriority w:val="34"/>
    <w:qFormat/>
    <w:rsid w:val="008B4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48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8A5"/>
    <w:rPr>
      <w:rFonts w:ascii="Tahoma" w:hAnsi="Tahoma" w:cs="Tahoma"/>
      <w:sz w:val="16"/>
      <w:szCs w:val="16"/>
    </w:rPr>
  </w:style>
  <w:style w:type="paragraph" w:styleId="Prrafodelista">
    <w:name w:val="List Paragraph"/>
    <w:basedOn w:val="Normal"/>
    <w:uiPriority w:val="34"/>
    <w:qFormat/>
    <w:rsid w:val="008B4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03513">
      <w:bodyDiv w:val="1"/>
      <w:marLeft w:val="0"/>
      <w:marRight w:val="0"/>
      <w:marTop w:val="0"/>
      <w:marBottom w:val="0"/>
      <w:divBdr>
        <w:top w:val="none" w:sz="0" w:space="0" w:color="auto"/>
        <w:left w:val="none" w:sz="0" w:space="0" w:color="auto"/>
        <w:bottom w:val="none" w:sz="0" w:space="0" w:color="auto"/>
        <w:right w:val="none" w:sz="0" w:space="0" w:color="auto"/>
      </w:divBdr>
      <w:divsChild>
        <w:div w:id="1238709320">
          <w:marLeft w:val="0"/>
          <w:marRight w:val="0"/>
          <w:marTop w:val="0"/>
          <w:marBottom w:val="0"/>
          <w:divBdr>
            <w:top w:val="none" w:sz="0" w:space="0" w:color="auto"/>
            <w:left w:val="none" w:sz="0" w:space="0" w:color="auto"/>
            <w:bottom w:val="none" w:sz="0" w:space="0" w:color="auto"/>
            <w:right w:val="none" w:sz="0" w:space="0" w:color="auto"/>
          </w:divBdr>
          <w:divsChild>
            <w:div w:id="1688556418">
              <w:marLeft w:val="0"/>
              <w:marRight w:val="0"/>
              <w:marTop w:val="240"/>
              <w:marBottom w:val="0"/>
              <w:divBdr>
                <w:top w:val="none" w:sz="0" w:space="0" w:color="auto"/>
                <w:left w:val="none" w:sz="0" w:space="0" w:color="auto"/>
                <w:bottom w:val="none" w:sz="0" w:space="0" w:color="auto"/>
                <w:right w:val="none" w:sz="0" w:space="0" w:color="auto"/>
              </w:divBdr>
              <w:divsChild>
                <w:div w:id="204098281">
                  <w:marLeft w:val="0"/>
                  <w:marRight w:val="0"/>
                  <w:marTop w:val="0"/>
                  <w:marBottom w:val="0"/>
                  <w:divBdr>
                    <w:top w:val="none" w:sz="0" w:space="0" w:color="auto"/>
                    <w:left w:val="none" w:sz="0" w:space="0" w:color="auto"/>
                    <w:bottom w:val="none" w:sz="0" w:space="0" w:color="auto"/>
                    <w:right w:val="none" w:sz="0" w:space="0" w:color="auto"/>
                  </w:divBdr>
                  <w:divsChild>
                    <w:div w:id="1142305382">
                      <w:marLeft w:val="0"/>
                      <w:marRight w:val="0"/>
                      <w:marTop w:val="0"/>
                      <w:marBottom w:val="0"/>
                      <w:divBdr>
                        <w:top w:val="none" w:sz="0" w:space="0" w:color="auto"/>
                        <w:left w:val="none" w:sz="0" w:space="0" w:color="auto"/>
                        <w:bottom w:val="none" w:sz="0" w:space="0" w:color="auto"/>
                        <w:right w:val="none" w:sz="0" w:space="0" w:color="auto"/>
                      </w:divBdr>
                      <w:divsChild>
                        <w:div w:id="330303270">
                          <w:marLeft w:val="150"/>
                          <w:marRight w:val="150"/>
                          <w:marTop w:val="0"/>
                          <w:marBottom w:val="0"/>
                          <w:divBdr>
                            <w:top w:val="none" w:sz="0" w:space="0" w:color="auto"/>
                            <w:left w:val="none" w:sz="0" w:space="0" w:color="auto"/>
                            <w:bottom w:val="none" w:sz="0" w:space="0" w:color="auto"/>
                            <w:right w:val="none" w:sz="0" w:space="0" w:color="auto"/>
                          </w:divBdr>
                          <w:divsChild>
                            <w:div w:id="284654968">
                              <w:marLeft w:val="0"/>
                              <w:marRight w:val="0"/>
                              <w:marTop w:val="0"/>
                              <w:marBottom w:val="0"/>
                              <w:divBdr>
                                <w:top w:val="none" w:sz="0" w:space="0" w:color="auto"/>
                                <w:left w:val="none" w:sz="0" w:space="0" w:color="auto"/>
                                <w:bottom w:val="none" w:sz="0" w:space="0" w:color="auto"/>
                                <w:right w:val="none" w:sz="0" w:space="0" w:color="auto"/>
                              </w:divBdr>
                              <w:divsChild>
                                <w:div w:id="657616861">
                                  <w:marLeft w:val="0"/>
                                  <w:marRight w:val="0"/>
                                  <w:marTop w:val="0"/>
                                  <w:marBottom w:val="0"/>
                                  <w:divBdr>
                                    <w:top w:val="none" w:sz="0" w:space="0" w:color="auto"/>
                                    <w:left w:val="none" w:sz="0" w:space="0" w:color="auto"/>
                                    <w:bottom w:val="none" w:sz="0" w:space="0" w:color="auto"/>
                                    <w:right w:val="none" w:sz="0" w:space="0" w:color="auto"/>
                                  </w:divBdr>
                                  <w:divsChild>
                                    <w:div w:id="592587987">
                                      <w:marLeft w:val="0"/>
                                      <w:marRight w:val="0"/>
                                      <w:marTop w:val="0"/>
                                      <w:marBottom w:val="0"/>
                                      <w:divBdr>
                                        <w:top w:val="none" w:sz="0" w:space="0" w:color="auto"/>
                                        <w:left w:val="none" w:sz="0" w:space="0" w:color="auto"/>
                                        <w:bottom w:val="none" w:sz="0" w:space="0" w:color="auto"/>
                                        <w:right w:val="none" w:sz="0" w:space="0" w:color="auto"/>
                                      </w:divBdr>
                                      <w:divsChild>
                                        <w:div w:id="841511635">
                                          <w:marLeft w:val="0"/>
                                          <w:marRight w:val="0"/>
                                          <w:marTop w:val="0"/>
                                          <w:marBottom w:val="0"/>
                                          <w:divBdr>
                                            <w:top w:val="none" w:sz="0" w:space="0" w:color="auto"/>
                                            <w:left w:val="none" w:sz="0" w:space="0" w:color="auto"/>
                                            <w:bottom w:val="none" w:sz="0" w:space="0" w:color="auto"/>
                                            <w:right w:val="none" w:sz="0" w:space="0" w:color="auto"/>
                                          </w:divBdr>
                                          <w:divsChild>
                                            <w:div w:id="1806660724">
                                              <w:marLeft w:val="0"/>
                                              <w:marRight w:val="0"/>
                                              <w:marTop w:val="0"/>
                                              <w:marBottom w:val="0"/>
                                              <w:divBdr>
                                                <w:top w:val="none" w:sz="0" w:space="0" w:color="auto"/>
                                                <w:left w:val="none" w:sz="0" w:space="0" w:color="auto"/>
                                                <w:bottom w:val="none" w:sz="0" w:space="0" w:color="auto"/>
                                                <w:right w:val="none" w:sz="0" w:space="0" w:color="auto"/>
                                              </w:divBdr>
                                              <w:divsChild>
                                                <w:div w:id="1047945949">
                                                  <w:marLeft w:val="0"/>
                                                  <w:marRight w:val="0"/>
                                                  <w:marTop w:val="0"/>
                                                  <w:marBottom w:val="0"/>
                                                  <w:divBdr>
                                                    <w:top w:val="none" w:sz="0" w:space="0" w:color="auto"/>
                                                    <w:left w:val="none" w:sz="0" w:space="0" w:color="auto"/>
                                                    <w:bottom w:val="none" w:sz="0" w:space="0" w:color="auto"/>
                                                    <w:right w:val="none" w:sz="0" w:space="0" w:color="auto"/>
                                                  </w:divBdr>
                                                  <w:divsChild>
                                                    <w:div w:id="1134131191">
                                                      <w:marLeft w:val="0"/>
                                                      <w:marRight w:val="0"/>
                                                      <w:marTop w:val="0"/>
                                                      <w:marBottom w:val="0"/>
                                                      <w:divBdr>
                                                        <w:top w:val="none" w:sz="0" w:space="0" w:color="auto"/>
                                                        <w:left w:val="none" w:sz="0" w:space="0" w:color="auto"/>
                                                        <w:bottom w:val="none" w:sz="0" w:space="0" w:color="auto"/>
                                                        <w:right w:val="none" w:sz="0" w:space="0" w:color="auto"/>
                                                      </w:divBdr>
                                                      <w:divsChild>
                                                        <w:div w:id="1545561614">
                                                          <w:marLeft w:val="0"/>
                                                          <w:marRight w:val="0"/>
                                                          <w:marTop w:val="0"/>
                                                          <w:marBottom w:val="0"/>
                                                          <w:divBdr>
                                                            <w:top w:val="none" w:sz="0" w:space="0" w:color="auto"/>
                                                            <w:left w:val="none" w:sz="0" w:space="0" w:color="auto"/>
                                                            <w:bottom w:val="none" w:sz="0" w:space="0" w:color="auto"/>
                                                            <w:right w:val="none" w:sz="0" w:space="0" w:color="auto"/>
                                                          </w:divBdr>
                                                          <w:divsChild>
                                                            <w:div w:id="1009216302">
                                                              <w:marLeft w:val="0"/>
                                                              <w:marRight w:val="0"/>
                                                              <w:marTop w:val="0"/>
                                                              <w:marBottom w:val="0"/>
                                                              <w:divBdr>
                                                                <w:top w:val="none" w:sz="0" w:space="0" w:color="auto"/>
                                                                <w:left w:val="none" w:sz="0" w:space="0" w:color="auto"/>
                                                                <w:bottom w:val="none" w:sz="0" w:space="0" w:color="auto"/>
                                                                <w:right w:val="none" w:sz="0" w:space="0" w:color="auto"/>
                                                              </w:divBdr>
                                                              <w:divsChild>
                                                                <w:div w:id="19892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24641">
                                                      <w:marLeft w:val="0"/>
                                                      <w:marRight w:val="0"/>
                                                      <w:marTop w:val="0"/>
                                                      <w:marBottom w:val="0"/>
                                                      <w:divBdr>
                                                        <w:top w:val="none" w:sz="0" w:space="0" w:color="auto"/>
                                                        <w:left w:val="none" w:sz="0" w:space="0" w:color="auto"/>
                                                        <w:bottom w:val="none" w:sz="0" w:space="0" w:color="auto"/>
                                                        <w:right w:val="none" w:sz="0" w:space="0" w:color="auto"/>
                                                      </w:divBdr>
                                                      <w:divsChild>
                                                        <w:div w:id="1744910666">
                                                          <w:marLeft w:val="0"/>
                                                          <w:marRight w:val="0"/>
                                                          <w:marTop w:val="0"/>
                                                          <w:marBottom w:val="0"/>
                                                          <w:divBdr>
                                                            <w:top w:val="none" w:sz="0" w:space="0" w:color="auto"/>
                                                            <w:left w:val="none" w:sz="0" w:space="0" w:color="auto"/>
                                                            <w:bottom w:val="none" w:sz="0" w:space="0" w:color="auto"/>
                                                            <w:right w:val="none" w:sz="0" w:space="0" w:color="auto"/>
                                                          </w:divBdr>
                                                        </w:div>
                                                        <w:div w:id="1893223908">
                                                          <w:marLeft w:val="0"/>
                                                          <w:marRight w:val="0"/>
                                                          <w:marTop w:val="0"/>
                                                          <w:marBottom w:val="0"/>
                                                          <w:divBdr>
                                                            <w:top w:val="none" w:sz="0" w:space="0" w:color="auto"/>
                                                            <w:left w:val="none" w:sz="0" w:space="0" w:color="auto"/>
                                                            <w:bottom w:val="none" w:sz="0" w:space="0" w:color="auto"/>
                                                            <w:right w:val="none" w:sz="0" w:space="0" w:color="auto"/>
                                                          </w:divBdr>
                                                          <w:divsChild>
                                                            <w:div w:id="18784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7780">
                                                      <w:marLeft w:val="0"/>
                                                      <w:marRight w:val="0"/>
                                                      <w:marTop w:val="0"/>
                                                      <w:marBottom w:val="0"/>
                                                      <w:divBdr>
                                                        <w:top w:val="none" w:sz="0" w:space="0" w:color="auto"/>
                                                        <w:left w:val="none" w:sz="0" w:space="0" w:color="auto"/>
                                                        <w:bottom w:val="none" w:sz="0" w:space="0" w:color="auto"/>
                                                        <w:right w:val="none" w:sz="0" w:space="0" w:color="auto"/>
                                                      </w:divBdr>
                                                      <w:divsChild>
                                                        <w:div w:id="1573617582">
                                                          <w:marLeft w:val="0"/>
                                                          <w:marRight w:val="0"/>
                                                          <w:marTop w:val="0"/>
                                                          <w:marBottom w:val="0"/>
                                                          <w:divBdr>
                                                            <w:top w:val="none" w:sz="0" w:space="0" w:color="auto"/>
                                                            <w:left w:val="none" w:sz="0" w:space="0" w:color="auto"/>
                                                            <w:bottom w:val="none" w:sz="0" w:space="0" w:color="auto"/>
                                                            <w:right w:val="none" w:sz="0" w:space="0" w:color="auto"/>
                                                          </w:divBdr>
                                                        </w:div>
                                                        <w:div w:id="656419103">
                                                          <w:marLeft w:val="0"/>
                                                          <w:marRight w:val="0"/>
                                                          <w:marTop w:val="0"/>
                                                          <w:marBottom w:val="0"/>
                                                          <w:divBdr>
                                                            <w:top w:val="none" w:sz="0" w:space="0" w:color="auto"/>
                                                            <w:left w:val="none" w:sz="0" w:space="0" w:color="auto"/>
                                                            <w:bottom w:val="none" w:sz="0" w:space="0" w:color="auto"/>
                                                            <w:right w:val="none" w:sz="0" w:space="0" w:color="auto"/>
                                                          </w:divBdr>
                                                          <w:divsChild>
                                                            <w:div w:id="17085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0802">
                                                      <w:marLeft w:val="0"/>
                                                      <w:marRight w:val="0"/>
                                                      <w:marTop w:val="0"/>
                                                      <w:marBottom w:val="0"/>
                                                      <w:divBdr>
                                                        <w:top w:val="none" w:sz="0" w:space="0" w:color="auto"/>
                                                        <w:left w:val="none" w:sz="0" w:space="0" w:color="auto"/>
                                                        <w:bottom w:val="none" w:sz="0" w:space="0" w:color="auto"/>
                                                        <w:right w:val="none" w:sz="0" w:space="0" w:color="auto"/>
                                                      </w:divBdr>
                                                      <w:divsChild>
                                                        <w:div w:id="311250909">
                                                          <w:marLeft w:val="0"/>
                                                          <w:marRight w:val="0"/>
                                                          <w:marTop w:val="0"/>
                                                          <w:marBottom w:val="0"/>
                                                          <w:divBdr>
                                                            <w:top w:val="none" w:sz="0" w:space="0" w:color="auto"/>
                                                            <w:left w:val="none" w:sz="0" w:space="0" w:color="auto"/>
                                                            <w:bottom w:val="none" w:sz="0" w:space="0" w:color="auto"/>
                                                            <w:right w:val="none" w:sz="0" w:space="0" w:color="auto"/>
                                                          </w:divBdr>
                                                        </w:div>
                                                        <w:div w:id="982780622">
                                                          <w:marLeft w:val="0"/>
                                                          <w:marRight w:val="0"/>
                                                          <w:marTop w:val="0"/>
                                                          <w:marBottom w:val="0"/>
                                                          <w:divBdr>
                                                            <w:top w:val="none" w:sz="0" w:space="0" w:color="auto"/>
                                                            <w:left w:val="none" w:sz="0" w:space="0" w:color="auto"/>
                                                            <w:bottom w:val="none" w:sz="0" w:space="0" w:color="auto"/>
                                                            <w:right w:val="none" w:sz="0" w:space="0" w:color="auto"/>
                                                          </w:divBdr>
                                                          <w:divsChild>
                                                            <w:div w:id="18930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93842">
                                                      <w:marLeft w:val="0"/>
                                                      <w:marRight w:val="0"/>
                                                      <w:marTop w:val="0"/>
                                                      <w:marBottom w:val="0"/>
                                                      <w:divBdr>
                                                        <w:top w:val="none" w:sz="0" w:space="0" w:color="auto"/>
                                                        <w:left w:val="none" w:sz="0" w:space="0" w:color="auto"/>
                                                        <w:bottom w:val="none" w:sz="0" w:space="0" w:color="auto"/>
                                                        <w:right w:val="none" w:sz="0" w:space="0" w:color="auto"/>
                                                      </w:divBdr>
                                                      <w:divsChild>
                                                        <w:div w:id="1855608669">
                                                          <w:marLeft w:val="0"/>
                                                          <w:marRight w:val="0"/>
                                                          <w:marTop w:val="0"/>
                                                          <w:marBottom w:val="0"/>
                                                          <w:divBdr>
                                                            <w:top w:val="none" w:sz="0" w:space="0" w:color="auto"/>
                                                            <w:left w:val="none" w:sz="0" w:space="0" w:color="auto"/>
                                                            <w:bottom w:val="none" w:sz="0" w:space="0" w:color="auto"/>
                                                            <w:right w:val="none" w:sz="0" w:space="0" w:color="auto"/>
                                                          </w:divBdr>
                                                        </w:div>
                                                        <w:div w:id="739210206">
                                                          <w:marLeft w:val="0"/>
                                                          <w:marRight w:val="0"/>
                                                          <w:marTop w:val="0"/>
                                                          <w:marBottom w:val="0"/>
                                                          <w:divBdr>
                                                            <w:top w:val="none" w:sz="0" w:space="0" w:color="auto"/>
                                                            <w:left w:val="none" w:sz="0" w:space="0" w:color="auto"/>
                                                            <w:bottom w:val="none" w:sz="0" w:space="0" w:color="auto"/>
                                                            <w:right w:val="none" w:sz="0" w:space="0" w:color="auto"/>
                                                          </w:divBdr>
                                                          <w:divsChild>
                                                            <w:div w:id="6051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747">
                                                      <w:marLeft w:val="0"/>
                                                      <w:marRight w:val="0"/>
                                                      <w:marTop w:val="0"/>
                                                      <w:marBottom w:val="0"/>
                                                      <w:divBdr>
                                                        <w:top w:val="none" w:sz="0" w:space="0" w:color="auto"/>
                                                        <w:left w:val="none" w:sz="0" w:space="0" w:color="auto"/>
                                                        <w:bottom w:val="none" w:sz="0" w:space="0" w:color="auto"/>
                                                        <w:right w:val="none" w:sz="0" w:space="0" w:color="auto"/>
                                                      </w:divBdr>
                                                      <w:divsChild>
                                                        <w:div w:id="188182236">
                                                          <w:marLeft w:val="0"/>
                                                          <w:marRight w:val="0"/>
                                                          <w:marTop w:val="0"/>
                                                          <w:marBottom w:val="0"/>
                                                          <w:divBdr>
                                                            <w:top w:val="none" w:sz="0" w:space="0" w:color="auto"/>
                                                            <w:left w:val="none" w:sz="0" w:space="0" w:color="auto"/>
                                                            <w:bottom w:val="none" w:sz="0" w:space="0" w:color="auto"/>
                                                            <w:right w:val="none" w:sz="0" w:space="0" w:color="auto"/>
                                                          </w:divBdr>
                                                        </w:div>
                                                        <w:div w:id="859201919">
                                                          <w:marLeft w:val="0"/>
                                                          <w:marRight w:val="0"/>
                                                          <w:marTop w:val="0"/>
                                                          <w:marBottom w:val="0"/>
                                                          <w:divBdr>
                                                            <w:top w:val="none" w:sz="0" w:space="0" w:color="auto"/>
                                                            <w:left w:val="none" w:sz="0" w:space="0" w:color="auto"/>
                                                            <w:bottom w:val="none" w:sz="0" w:space="0" w:color="auto"/>
                                                            <w:right w:val="none" w:sz="0" w:space="0" w:color="auto"/>
                                                          </w:divBdr>
                                                          <w:divsChild>
                                                            <w:div w:id="5868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2742">
                                                      <w:marLeft w:val="0"/>
                                                      <w:marRight w:val="0"/>
                                                      <w:marTop w:val="0"/>
                                                      <w:marBottom w:val="0"/>
                                                      <w:divBdr>
                                                        <w:top w:val="none" w:sz="0" w:space="0" w:color="auto"/>
                                                        <w:left w:val="none" w:sz="0" w:space="0" w:color="auto"/>
                                                        <w:bottom w:val="none" w:sz="0" w:space="0" w:color="auto"/>
                                                        <w:right w:val="none" w:sz="0" w:space="0" w:color="auto"/>
                                                      </w:divBdr>
                                                      <w:divsChild>
                                                        <w:div w:id="816915522">
                                                          <w:marLeft w:val="0"/>
                                                          <w:marRight w:val="0"/>
                                                          <w:marTop w:val="0"/>
                                                          <w:marBottom w:val="0"/>
                                                          <w:divBdr>
                                                            <w:top w:val="none" w:sz="0" w:space="0" w:color="auto"/>
                                                            <w:left w:val="none" w:sz="0" w:space="0" w:color="auto"/>
                                                            <w:bottom w:val="none" w:sz="0" w:space="0" w:color="auto"/>
                                                            <w:right w:val="none" w:sz="0" w:space="0" w:color="auto"/>
                                                          </w:divBdr>
                                                        </w:div>
                                                        <w:div w:id="645622960">
                                                          <w:marLeft w:val="0"/>
                                                          <w:marRight w:val="0"/>
                                                          <w:marTop w:val="0"/>
                                                          <w:marBottom w:val="0"/>
                                                          <w:divBdr>
                                                            <w:top w:val="none" w:sz="0" w:space="0" w:color="auto"/>
                                                            <w:left w:val="none" w:sz="0" w:space="0" w:color="auto"/>
                                                            <w:bottom w:val="none" w:sz="0" w:space="0" w:color="auto"/>
                                                            <w:right w:val="none" w:sz="0" w:space="0" w:color="auto"/>
                                                          </w:divBdr>
                                                          <w:divsChild>
                                                            <w:div w:id="3713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1402</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2013-07-21T15:18:00Z</dcterms:created>
  <dcterms:modified xsi:type="dcterms:W3CDTF">2013-07-21T15:22:00Z</dcterms:modified>
</cp:coreProperties>
</file>